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F01B" w14:textId="5784F18B" w:rsidR="009164E8" w:rsidRPr="008A15C6" w:rsidRDefault="009164E8" w:rsidP="008A15C6">
      <w:pPr>
        <w:jc w:val="center"/>
        <w:rPr>
          <w:b/>
          <w:bCs/>
          <w:sz w:val="24"/>
          <w:szCs w:val="24"/>
          <w:u w:val="single"/>
        </w:rPr>
      </w:pPr>
      <w:r w:rsidRPr="009164E8">
        <w:rPr>
          <w:b/>
          <w:bCs/>
          <w:sz w:val="36"/>
          <w:szCs w:val="36"/>
          <w:u w:val="single"/>
        </w:rPr>
        <w:t>New COVID-19 Isolation and Quarantine Guidelines</w:t>
      </w:r>
    </w:p>
    <w:p w14:paraId="34CF3CD8" w14:textId="2233405C" w:rsidR="009164E8" w:rsidRDefault="009164E8" w:rsidP="009164E8">
      <w:pPr>
        <w:jc w:val="center"/>
        <w:rPr>
          <w:i/>
          <w:iCs/>
          <w:sz w:val="24"/>
          <w:szCs w:val="24"/>
        </w:rPr>
      </w:pPr>
      <w:r w:rsidRPr="008A15C6">
        <w:rPr>
          <w:i/>
          <w:iCs/>
          <w:sz w:val="24"/>
          <w:szCs w:val="24"/>
        </w:rPr>
        <w:t>Guidance based on New CDC/DHS recommendations</w:t>
      </w:r>
      <w:r w:rsidR="008A15C6" w:rsidRPr="008A15C6">
        <w:rPr>
          <w:i/>
          <w:iCs/>
          <w:sz w:val="24"/>
          <w:szCs w:val="24"/>
        </w:rPr>
        <w:t xml:space="preserve"> released on December 27, 2021</w:t>
      </w:r>
    </w:p>
    <w:p w14:paraId="2338BB40" w14:textId="77777777" w:rsidR="008A15C6" w:rsidRPr="008A15C6" w:rsidRDefault="008A15C6" w:rsidP="009164E8">
      <w:pPr>
        <w:jc w:val="center"/>
        <w:rPr>
          <w:i/>
          <w:iCs/>
          <w:sz w:val="24"/>
          <w:szCs w:val="24"/>
        </w:rPr>
      </w:pPr>
    </w:p>
    <w:p w14:paraId="0D5E00A4" w14:textId="7C798E85" w:rsidR="009164E8" w:rsidRDefault="009164E8" w:rsidP="009164E8">
      <w:pPr>
        <w:jc w:val="center"/>
      </w:pPr>
      <w:r>
        <w:t xml:space="preserve">PLEASE NOTE: Healthcare and detention facilities have a separate set of guidance (which </w:t>
      </w:r>
      <w:r w:rsidR="00DF4394">
        <w:t xml:space="preserve">more </w:t>
      </w:r>
      <w:r>
        <w:t>closely aligns with the previous COVID Isolation/Quarantine standards.)</w:t>
      </w:r>
    </w:p>
    <w:p w14:paraId="6A4B42B5" w14:textId="2DD7199F" w:rsidR="009164E8" w:rsidRDefault="009164E8" w:rsidP="009164E8"/>
    <w:p w14:paraId="2FFEAC20" w14:textId="77777777" w:rsidR="009164E8" w:rsidRDefault="009164E8" w:rsidP="009164E8"/>
    <w:p w14:paraId="7F9D335E" w14:textId="526AD880" w:rsidR="002806AF" w:rsidRDefault="009164E8" w:rsidP="000D15B7">
      <w:pPr>
        <w:jc w:val="center"/>
        <w:rPr>
          <w:b/>
          <w:bCs/>
          <w:sz w:val="28"/>
          <w:szCs w:val="28"/>
        </w:rPr>
      </w:pPr>
      <w:r>
        <w:rPr>
          <w:b/>
          <w:bCs/>
          <w:sz w:val="28"/>
          <w:szCs w:val="28"/>
        </w:rPr>
        <w:t>IF YOU TEST POSITIVE FOR COVID-19 (ISOLATION)</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14"/>
      </w:tblGrid>
      <w:tr w:rsidR="002806AF" w14:paraId="19A5C2F4" w14:textId="77777777" w:rsidTr="000D15B7">
        <w:trPr>
          <w:trHeight w:val="378"/>
        </w:trPr>
        <w:tc>
          <w:tcPr>
            <w:tcW w:w="9350" w:type="dxa"/>
            <w:tcBorders>
              <w:top w:val="single" w:sz="18" w:space="0" w:color="auto"/>
              <w:bottom w:val="single" w:sz="18" w:space="0" w:color="auto"/>
            </w:tcBorders>
            <w:shd w:val="clear" w:color="auto" w:fill="F7CAAC" w:themeFill="accent2" w:themeFillTint="66"/>
            <w:vAlign w:val="center"/>
          </w:tcPr>
          <w:p w14:paraId="13B4C993" w14:textId="22DF269E" w:rsidR="002806AF" w:rsidRPr="000D15B7" w:rsidRDefault="002806AF" w:rsidP="002806AF">
            <w:pPr>
              <w:rPr>
                <w:b/>
                <w:bCs/>
              </w:rPr>
            </w:pPr>
            <w:r w:rsidRPr="000D15B7">
              <w:rPr>
                <w:b/>
                <w:bCs/>
                <w:sz w:val="24"/>
                <w:szCs w:val="24"/>
              </w:rPr>
              <w:t>EVERYONE, regardless of vaccination status, must:</w:t>
            </w:r>
          </w:p>
        </w:tc>
      </w:tr>
      <w:tr w:rsidR="002806AF" w14:paraId="0EC7470E" w14:textId="77777777" w:rsidTr="000D15B7">
        <w:trPr>
          <w:trHeight w:val="2645"/>
        </w:trPr>
        <w:tc>
          <w:tcPr>
            <w:tcW w:w="9350" w:type="dxa"/>
            <w:tcBorders>
              <w:top w:val="single" w:sz="18" w:space="0" w:color="auto"/>
            </w:tcBorders>
            <w:shd w:val="clear" w:color="auto" w:fill="FBE4D5" w:themeFill="accent2" w:themeFillTint="33"/>
            <w:vAlign w:val="center"/>
          </w:tcPr>
          <w:p w14:paraId="56DC7081" w14:textId="2C3F37F7" w:rsidR="002806AF" w:rsidRDefault="002806AF" w:rsidP="000D15B7">
            <w:pPr>
              <w:pStyle w:val="ListParagraph"/>
              <w:numPr>
                <w:ilvl w:val="0"/>
                <w:numId w:val="4"/>
              </w:numPr>
              <w:ind w:left="405"/>
            </w:pPr>
            <w:r>
              <w:t>Isolate, or stay at home for 10 days.  The clock starts the day your symptoms developed, or the day you were tested if you are asymptomatic.  (The date of symptom onset or testing is considered “day zero”).</w:t>
            </w:r>
          </w:p>
          <w:p w14:paraId="61D4DA6E" w14:textId="0BDC25E8" w:rsidR="002806AF" w:rsidRDefault="002806AF" w:rsidP="002806AF">
            <w:pPr>
              <w:pStyle w:val="ListParagraph"/>
              <w:numPr>
                <w:ilvl w:val="0"/>
                <w:numId w:val="2"/>
              </w:numPr>
              <w:ind w:left="675" w:hanging="270"/>
            </w:pPr>
            <w:r w:rsidRPr="009164E8">
              <w:rPr>
                <w:u w:val="single"/>
              </w:rPr>
              <w:t>After 5 days</w:t>
            </w:r>
            <w:r>
              <w:t>, if symptoms are resolving and you have not had a fever for at least 24 hours</w:t>
            </w:r>
            <w:r w:rsidR="000D15B7">
              <w:t xml:space="preserve"> (without the use of fever-reducing medication)</w:t>
            </w:r>
            <w:r>
              <w:t>, you may resume normal activities ONLY IF you are able to wear a well-fitting mask in home and public settings.</w:t>
            </w:r>
          </w:p>
          <w:p w14:paraId="0734C71D" w14:textId="151682FC" w:rsidR="002806AF" w:rsidRPr="002806AF" w:rsidRDefault="002806AF" w:rsidP="002806AF">
            <w:pPr>
              <w:pStyle w:val="ListParagraph"/>
              <w:numPr>
                <w:ilvl w:val="0"/>
                <w:numId w:val="2"/>
              </w:numPr>
              <w:ind w:left="675" w:hanging="270"/>
            </w:pPr>
            <w:r>
              <w:t xml:space="preserve">If your symptoms have </w:t>
            </w:r>
            <w:r w:rsidRPr="009164E8">
              <w:rPr>
                <w:u w:val="single"/>
              </w:rPr>
              <w:t>NOT</w:t>
            </w:r>
            <w:r>
              <w:t xml:space="preserve"> improved after 5 days, continue to isolate until you meet the conditions listed above.</w:t>
            </w:r>
          </w:p>
        </w:tc>
      </w:tr>
    </w:tbl>
    <w:p w14:paraId="667ACFA7" w14:textId="5B94AAE6" w:rsidR="009164E8" w:rsidRDefault="009164E8" w:rsidP="009164E8"/>
    <w:p w14:paraId="107D2618" w14:textId="77777777" w:rsidR="009164E8" w:rsidRDefault="009164E8" w:rsidP="009164E8"/>
    <w:p w14:paraId="2C2B13D4" w14:textId="77777777" w:rsidR="009164E8" w:rsidRDefault="009164E8" w:rsidP="002806AF">
      <w:pPr>
        <w:ind w:left="-180"/>
        <w:jc w:val="center"/>
        <w:rPr>
          <w:b/>
          <w:bCs/>
          <w:sz w:val="28"/>
          <w:szCs w:val="28"/>
        </w:rPr>
      </w:pPr>
      <w:r>
        <w:rPr>
          <w:b/>
          <w:bCs/>
          <w:sz w:val="28"/>
          <w:szCs w:val="28"/>
        </w:rPr>
        <w:t>IF YOU WERE EXPOSED TO SOMEONE WITH COVID-19 (QUARATINE)</w:t>
      </w:r>
    </w:p>
    <w:tbl>
      <w:tblPr>
        <w:tblW w:w="9697" w:type="dxa"/>
        <w:tblInd w:w="-203" w:type="dxa"/>
        <w:tblCellMar>
          <w:left w:w="0" w:type="dxa"/>
          <w:right w:w="0" w:type="dxa"/>
        </w:tblCellMar>
        <w:tblLook w:val="04A0" w:firstRow="1" w:lastRow="0" w:firstColumn="1" w:lastColumn="0" w:noHBand="0" w:noVBand="1"/>
      </w:tblPr>
      <w:tblGrid>
        <w:gridCol w:w="3847"/>
        <w:gridCol w:w="270"/>
        <w:gridCol w:w="5580"/>
      </w:tblGrid>
      <w:tr w:rsidR="009164E8" w14:paraId="62E74D27" w14:textId="77777777" w:rsidTr="002806AF">
        <w:trPr>
          <w:trHeight w:val="243"/>
        </w:trPr>
        <w:tc>
          <w:tcPr>
            <w:tcW w:w="3847" w:type="dxa"/>
            <w:tcBorders>
              <w:top w:val="single" w:sz="18" w:space="0" w:color="auto"/>
              <w:left w:val="single" w:sz="18" w:space="0" w:color="auto"/>
              <w:bottom w:val="single" w:sz="8" w:space="0" w:color="auto"/>
              <w:right w:val="single" w:sz="18" w:space="0" w:color="auto"/>
            </w:tcBorders>
            <w:shd w:val="clear" w:color="auto" w:fill="C5E0B3" w:themeFill="accent6" w:themeFillTint="66"/>
            <w:tcMar>
              <w:top w:w="0" w:type="dxa"/>
              <w:left w:w="108" w:type="dxa"/>
              <w:bottom w:w="0" w:type="dxa"/>
              <w:right w:w="108" w:type="dxa"/>
            </w:tcMar>
            <w:hideMark/>
          </w:tcPr>
          <w:p w14:paraId="0BA46CD5" w14:textId="77777777" w:rsidR="009164E8" w:rsidRDefault="009164E8">
            <w:pPr>
              <w:rPr>
                <w:b/>
                <w:bCs/>
              </w:rPr>
            </w:pPr>
            <w:r>
              <w:rPr>
                <w:b/>
                <w:bCs/>
                <w:sz w:val="32"/>
                <w:szCs w:val="32"/>
              </w:rPr>
              <w:t>If:</w:t>
            </w:r>
          </w:p>
        </w:tc>
        <w:tc>
          <w:tcPr>
            <w:tcW w:w="270" w:type="dxa"/>
            <w:tcBorders>
              <w:top w:val="single" w:sz="18" w:space="0" w:color="auto"/>
              <w:left w:val="nil"/>
              <w:bottom w:val="nil"/>
              <w:right w:val="single" w:sz="18" w:space="0" w:color="auto"/>
            </w:tcBorders>
          </w:tcPr>
          <w:p w14:paraId="3DEFDF6D" w14:textId="77777777" w:rsidR="009164E8" w:rsidRDefault="009164E8">
            <w:pPr>
              <w:jc w:val="center"/>
            </w:pPr>
          </w:p>
        </w:tc>
        <w:tc>
          <w:tcPr>
            <w:tcW w:w="5580" w:type="dxa"/>
            <w:tcBorders>
              <w:top w:val="single" w:sz="18" w:space="0" w:color="auto"/>
              <w:left w:val="single" w:sz="18" w:space="0" w:color="auto"/>
              <w:bottom w:val="single" w:sz="8" w:space="0" w:color="auto"/>
              <w:right w:val="single" w:sz="18" w:space="0" w:color="auto"/>
            </w:tcBorders>
            <w:shd w:val="clear" w:color="auto" w:fill="FFE599" w:themeFill="accent4" w:themeFillTint="66"/>
            <w:tcMar>
              <w:top w:w="0" w:type="dxa"/>
              <w:left w:w="108" w:type="dxa"/>
              <w:bottom w:w="0" w:type="dxa"/>
              <w:right w:w="108" w:type="dxa"/>
            </w:tcMar>
            <w:hideMark/>
          </w:tcPr>
          <w:p w14:paraId="365B2D58" w14:textId="77777777" w:rsidR="009164E8" w:rsidRDefault="009164E8">
            <w:pPr>
              <w:rPr>
                <w:b/>
                <w:bCs/>
              </w:rPr>
            </w:pPr>
            <w:r>
              <w:rPr>
                <w:b/>
                <w:bCs/>
                <w:sz w:val="32"/>
                <w:szCs w:val="32"/>
              </w:rPr>
              <w:t>If:</w:t>
            </w:r>
          </w:p>
        </w:tc>
      </w:tr>
      <w:tr w:rsidR="009164E8" w14:paraId="736E1013" w14:textId="77777777" w:rsidTr="002806AF">
        <w:trPr>
          <w:trHeight w:val="2943"/>
        </w:trPr>
        <w:tc>
          <w:tcPr>
            <w:tcW w:w="3847" w:type="dxa"/>
            <w:tcBorders>
              <w:top w:val="single" w:sz="18" w:space="0" w:color="auto"/>
              <w:left w:val="single" w:sz="18" w:space="0" w:color="auto"/>
              <w:bottom w:val="single" w:sz="8" w:space="0" w:color="auto"/>
              <w:right w:val="single" w:sz="18" w:space="0" w:color="auto"/>
            </w:tcBorders>
            <w:shd w:val="clear" w:color="auto" w:fill="E2EFD9" w:themeFill="accent6" w:themeFillTint="33"/>
            <w:tcMar>
              <w:top w:w="0" w:type="dxa"/>
              <w:left w:w="108" w:type="dxa"/>
              <w:bottom w:w="0" w:type="dxa"/>
              <w:right w:w="108" w:type="dxa"/>
            </w:tcMar>
            <w:vAlign w:val="center"/>
            <w:hideMark/>
          </w:tcPr>
          <w:p w14:paraId="5E87B63F" w14:textId="77777777" w:rsidR="009164E8" w:rsidRDefault="009164E8">
            <w:pPr>
              <w:jc w:val="center"/>
            </w:pPr>
            <w:r>
              <w:t>You received your booster vaccine.</w:t>
            </w:r>
          </w:p>
          <w:p w14:paraId="17676A01" w14:textId="77777777" w:rsidR="009164E8" w:rsidRDefault="009164E8">
            <w:pPr>
              <w:jc w:val="center"/>
              <w:rPr>
                <w:b/>
                <w:bCs/>
              </w:rPr>
            </w:pPr>
            <w:r>
              <w:rPr>
                <w:b/>
                <w:bCs/>
              </w:rPr>
              <w:t>OR</w:t>
            </w:r>
          </w:p>
          <w:p w14:paraId="755A570A" w14:textId="77777777" w:rsidR="009164E8" w:rsidRDefault="009164E8">
            <w:pPr>
              <w:jc w:val="center"/>
            </w:pPr>
            <w:r>
              <w:t>You completed the primary series of Pfizer or Moderna vaccine within the last 6 months.</w:t>
            </w:r>
          </w:p>
          <w:p w14:paraId="25CA210E" w14:textId="77777777" w:rsidR="009164E8" w:rsidRDefault="009164E8">
            <w:pPr>
              <w:jc w:val="center"/>
              <w:rPr>
                <w:b/>
                <w:bCs/>
              </w:rPr>
            </w:pPr>
            <w:r>
              <w:rPr>
                <w:b/>
                <w:bCs/>
              </w:rPr>
              <w:t>OR</w:t>
            </w:r>
          </w:p>
          <w:p w14:paraId="5662EAD4" w14:textId="77777777" w:rsidR="009164E8" w:rsidRDefault="009164E8">
            <w:pPr>
              <w:jc w:val="center"/>
            </w:pPr>
            <w:r>
              <w:t>You completed the primary series of J&amp;J vaccine within the past 2 months.</w:t>
            </w:r>
          </w:p>
        </w:tc>
        <w:tc>
          <w:tcPr>
            <w:tcW w:w="270" w:type="dxa"/>
            <w:tcBorders>
              <w:top w:val="nil"/>
              <w:left w:val="nil"/>
              <w:bottom w:val="nil"/>
              <w:right w:val="single" w:sz="18" w:space="0" w:color="auto"/>
            </w:tcBorders>
            <w:vAlign w:val="center"/>
          </w:tcPr>
          <w:p w14:paraId="2BD7B191" w14:textId="77777777" w:rsidR="009164E8" w:rsidRDefault="009164E8">
            <w:pPr>
              <w:jc w:val="center"/>
            </w:pPr>
          </w:p>
        </w:tc>
        <w:tc>
          <w:tcPr>
            <w:tcW w:w="5580" w:type="dxa"/>
            <w:tcBorders>
              <w:top w:val="single" w:sz="18" w:space="0" w:color="auto"/>
              <w:left w:val="single" w:sz="18" w:space="0" w:color="auto"/>
              <w:bottom w:val="single" w:sz="8" w:space="0" w:color="auto"/>
              <w:right w:val="single" w:sz="18" w:space="0" w:color="auto"/>
            </w:tcBorders>
            <w:shd w:val="clear" w:color="auto" w:fill="FFF2CC" w:themeFill="accent4" w:themeFillTint="33"/>
            <w:tcMar>
              <w:top w:w="0" w:type="dxa"/>
              <w:left w:w="108" w:type="dxa"/>
              <w:bottom w:w="0" w:type="dxa"/>
              <w:right w:w="108" w:type="dxa"/>
            </w:tcMar>
            <w:vAlign w:val="center"/>
            <w:hideMark/>
          </w:tcPr>
          <w:p w14:paraId="0CC3C665" w14:textId="2335B90B" w:rsidR="009164E8" w:rsidRDefault="009164E8">
            <w:pPr>
              <w:jc w:val="center"/>
            </w:pPr>
            <w:r>
              <w:t>You completed the primary series of Pfizer or Moderna vaccine over 6 months ago and have not received your booster vaccine.</w:t>
            </w:r>
          </w:p>
          <w:p w14:paraId="4D9EC571" w14:textId="77777777" w:rsidR="009164E8" w:rsidRDefault="009164E8">
            <w:pPr>
              <w:jc w:val="center"/>
              <w:rPr>
                <w:b/>
                <w:bCs/>
              </w:rPr>
            </w:pPr>
            <w:r>
              <w:rPr>
                <w:b/>
                <w:bCs/>
              </w:rPr>
              <w:t>OR</w:t>
            </w:r>
          </w:p>
          <w:p w14:paraId="5F095518" w14:textId="77777777" w:rsidR="009164E8" w:rsidRDefault="009164E8">
            <w:pPr>
              <w:jc w:val="center"/>
            </w:pPr>
            <w:r>
              <w:t>Completed the primary series of J&amp;J vaccine over 2 months ago and have not received your booster vaccine.</w:t>
            </w:r>
          </w:p>
          <w:p w14:paraId="041259C8" w14:textId="77777777" w:rsidR="009164E8" w:rsidRDefault="009164E8">
            <w:pPr>
              <w:jc w:val="center"/>
              <w:rPr>
                <w:b/>
                <w:bCs/>
              </w:rPr>
            </w:pPr>
            <w:r>
              <w:rPr>
                <w:b/>
                <w:bCs/>
              </w:rPr>
              <w:t>OR</w:t>
            </w:r>
          </w:p>
          <w:p w14:paraId="4F0AFBE3" w14:textId="77777777" w:rsidR="009164E8" w:rsidRDefault="009164E8">
            <w:pPr>
              <w:jc w:val="center"/>
            </w:pPr>
            <w:r>
              <w:t>Are unvaccinated.</w:t>
            </w:r>
          </w:p>
        </w:tc>
      </w:tr>
      <w:tr w:rsidR="009164E8" w14:paraId="28CD17EC" w14:textId="77777777" w:rsidTr="002806AF">
        <w:tc>
          <w:tcPr>
            <w:tcW w:w="3847" w:type="dxa"/>
            <w:tcBorders>
              <w:top w:val="single" w:sz="8" w:space="0" w:color="auto"/>
              <w:left w:val="single" w:sz="18" w:space="0" w:color="auto"/>
              <w:bottom w:val="single" w:sz="8" w:space="0" w:color="auto"/>
              <w:right w:val="single" w:sz="18" w:space="0" w:color="auto"/>
            </w:tcBorders>
            <w:shd w:val="clear" w:color="auto" w:fill="C5E0B3" w:themeFill="accent6" w:themeFillTint="66"/>
            <w:tcMar>
              <w:top w:w="0" w:type="dxa"/>
              <w:left w:w="108" w:type="dxa"/>
              <w:bottom w:w="0" w:type="dxa"/>
              <w:right w:w="108" w:type="dxa"/>
            </w:tcMar>
            <w:vAlign w:val="center"/>
            <w:hideMark/>
          </w:tcPr>
          <w:p w14:paraId="606B9639" w14:textId="77777777" w:rsidR="009164E8" w:rsidRDefault="009164E8">
            <w:pPr>
              <w:rPr>
                <w:b/>
                <w:bCs/>
              </w:rPr>
            </w:pPr>
            <w:r>
              <w:rPr>
                <w:b/>
                <w:bCs/>
                <w:sz w:val="28"/>
                <w:szCs w:val="28"/>
              </w:rPr>
              <w:t>Then:</w:t>
            </w:r>
          </w:p>
        </w:tc>
        <w:tc>
          <w:tcPr>
            <w:tcW w:w="270" w:type="dxa"/>
            <w:tcBorders>
              <w:top w:val="nil"/>
              <w:left w:val="nil"/>
              <w:bottom w:val="nil"/>
              <w:right w:val="single" w:sz="18" w:space="0" w:color="auto"/>
            </w:tcBorders>
          </w:tcPr>
          <w:p w14:paraId="1A6EE326" w14:textId="77777777" w:rsidR="009164E8" w:rsidRDefault="009164E8"/>
        </w:tc>
        <w:tc>
          <w:tcPr>
            <w:tcW w:w="5580" w:type="dxa"/>
            <w:tcBorders>
              <w:top w:val="single" w:sz="8" w:space="0" w:color="auto"/>
              <w:left w:val="single" w:sz="18" w:space="0" w:color="auto"/>
              <w:bottom w:val="single" w:sz="8" w:space="0" w:color="auto"/>
              <w:right w:val="single" w:sz="18" w:space="0" w:color="auto"/>
            </w:tcBorders>
            <w:shd w:val="clear" w:color="auto" w:fill="FFE599" w:themeFill="accent4" w:themeFillTint="66"/>
            <w:tcMar>
              <w:top w:w="0" w:type="dxa"/>
              <w:left w:w="108" w:type="dxa"/>
              <w:bottom w:w="0" w:type="dxa"/>
              <w:right w:w="108" w:type="dxa"/>
            </w:tcMar>
            <w:vAlign w:val="center"/>
            <w:hideMark/>
          </w:tcPr>
          <w:p w14:paraId="2B0CE580" w14:textId="77777777" w:rsidR="009164E8" w:rsidRDefault="009164E8">
            <w:pPr>
              <w:rPr>
                <w:b/>
                <w:bCs/>
                <w:sz w:val="28"/>
                <w:szCs w:val="28"/>
              </w:rPr>
            </w:pPr>
            <w:r>
              <w:rPr>
                <w:b/>
                <w:bCs/>
                <w:sz w:val="28"/>
                <w:szCs w:val="28"/>
              </w:rPr>
              <w:t>Then:</w:t>
            </w:r>
          </w:p>
        </w:tc>
      </w:tr>
      <w:tr w:rsidR="009164E8" w14:paraId="32037AC5" w14:textId="77777777" w:rsidTr="002806AF">
        <w:trPr>
          <w:trHeight w:val="3517"/>
        </w:trPr>
        <w:tc>
          <w:tcPr>
            <w:tcW w:w="3847" w:type="dxa"/>
            <w:tcBorders>
              <w:top w:val="single" w:sz="8" w:space="0" w:color="auto"/>
              <w:left w:val="single" w:sz="18" w:space="0" w:color="auto"/>
              <w:bottom w:val="single" w:sz="18" w:space="0" w:color="auto"/>
              <w:right w:val="single" w:sz="18" w:space="0" w:color="auto"/>
            </w:tcBorders>
            <w:shd w:val="clear" w:color="auto" w:fill="E2EFD9" w:themeFill="accent6" w:themeFillTint="33"/>
            <w:tcMar>
              <w:top w:w="0" w:type="dxa"/>
              <w:left w:w="108" w:type="dxa"/>
              <w:bottom w:w="0" w:type="dxa"/>
              <w:right w:w="108" w:type="dxa"/>
            </w:tcMar>
            <w:vAlign w:val="center"/>
          </w:tcPr>
          <w:p w14:paraId="5F1B89F4" w14:textId="07FC06F9" w:rsidR="009164E8" w:rsidRDefault="009164E8" w:rsidP="002806AF">
            <w:pPr>
              <w:pStyle w:val="ListParagraph"/>
              <w:numPr>
                <w:ilvl w:val="0"/>
                <w:numId w:val="3"/>
              </w:numPr>
              <w:ind w:left="435"/>
            </w:pPr>
            <w:r>
              <w:t xml:space="preserve">You do not have to quarantine IF a mask is worn in all public settings </w:t>
            </w:r>
            <w:r w:rsidRPr="002806AF">
              <w:rPr>
                <w:u w:val="single"/>
              </w:rPr>
              <w:t>for 10 days</w:t>
            </w:r>
            <w:r>
              <w:t>.</w:t>
            </w:r>
          </w:p>
          <w:p w14:paraId="3E8851F2" w14:textId="77777777" w:rsidR="009164E8" w:rsidRDefault="009164E8">
            <w:pPr>
              <w:ind w:left="435"/>
              <w:rPr>
                <w:sz w:val="10"/>
                <w:szCs w:val="10"/>
              </w:rPr>
            </w:pPr>
          </w:p>
          <w:p w14:paraId="0EBC97DE" w14:textId="6AA42A4A" w:rsidR="009164E8" w:rsidRDefault="009164E8" w:rsidP="002806AF">
            <w:pPr>
              <w:pStyle w:val="ListParagraph"/>
              <w:numPr>
                <w:ilvl w:val="0"/>
                <w:numId w:val="3"/>
              </w:numPr>
              <w:ind w:left="435"/>
            </w:pPr>
            <w:r>
              <w:t>COVID-19 testing is recommended on day 5.</w:t>
            </w:r>
          </w:p>
          <w:p w14:paraId="741AE926" w14:textId="77777777" w:rsidR="009164E8" w:rsidRDefault="009164E8">
            <w:pPr>
              <w:ind w:left="435"/>
              <w:rPr>
                <w:sz w:val="10"/>
                <w:szCs w:val="10"/>
              </w:rPr>
            </w:pPr>
          </w:p>
          <w:p w14:paraId="476F5E46" w14:textId="36F73CB0" w:rsidR="009164E8" w:rsidRDefault="009164E8" w:rsidP="002806AF">
            <w:pPr>
              <w:pStyle w:val="ListParagraph"/>
              <w:numPr>
                <w:ilvl w:val="0"/>
                <w:numId w:val="3"/>
              </w:numPr>
              <w:ind w:left="435"/>
            </w:pPr>
            <w:r>
              <w:t>If you develop symptoms consistent with COVID, get a test and stay home (isolate).</w:t>
            </w:r>
          </w:p>
        </w:tc>
        <w:tc>
          <w:tcPr>
            <w:tcW w:w="270" w:type="dxa"/>
            <w:tcBorders>
              <w:top w:val="nil"/>
              <w:left w:val="nil"/>
              <w:bottom w:val="single" w:sz="18" w:space="0" w:color="auto"/>
              <w:right w:val="single" w:sz="18" w:space="0" w:color="auto"/>
            </w:tcBorders>
          </w:tcPr>
          <w:p w14:paraId="16808CDB" w14:textId="77777777" w:rsidR="009164E8" w:rsidRDefault="009164E8"/>
        </w:tc>
        <w:tc>
          <w:tcPr>
            <w:tcW w:w="5580" w:type="dxa"/>
            <w:tcBorders>
              <w:top w:val="single" w:sz="8" w:space="0" w:color="auto"/>
              <w:left w:val="single" w:sz="18" w:space="0" w:color="auto"/>
              <w:bottom w:val="single" w:sz="18" w:space="0" w:color="auto"/>
              <w:right w:val="single" w:sz="18" w:space="0" w:color="auto"/>
            </w:tcBorders>
            <w:shd w:val="clear" w:color="auto" w:fill="FFF2CC" w:themeFill="accent4" w:themeFillTint="33"/>
            <w:tcMar>
              <w:top w:w="0" w:type="dxa"/>
              <w:left w:w="108" w:type="dxa"/>
              <w:bottom w:w="0" w:type="dxa"/>
              <w:right w:w="108" w:type="dxa"/>
            </w:tcMar>
            <w:vAlign w:val="center"/>
          </w:tcPr>
          <w:p w14:paraId="5CA876D6" w14:textId="3E64B3CC" w:rsidR="009164E8" w:rsidRDefault="009164E8" w:rsidP="000D15B7">
            <w:pPr>
              <w:pStyle w:val="ListParagraph"/>
              <w:numPr>
                <w:ilvl w:val="0"/>
                <w:numId w:val="3"/>
              </w:numPr>
              <w:ind w:left="360"/>
            </w:pPr>
            <w:r>
              <w:t>Stay home and quarantine for 10 days.  The clock starts on the last day you were exposed to the virus.  (The last day of exposure is considered “day zero.”)</w:t>
            </w:r>
          </w:p>
          <w:p w14:paraId="45E3E24F" w14:textId="77777777" w:rsidR="009164E8" w:rsidRDefault="009164E8">
            <w:pPr>
              <w:rPr>
                <w:sz w:val="10"/>
                <w:szCs w:val="10"/>
              </w:rPr>
            </w:pPr>
          </w:p>
          <w:p w14:paraId="526DC01F" w14:textId="72A0DEBA" w:rsidR="009164E8" w:rsidRDefault="009164E8" w:rsidP="000D15B7">
            <w:pPr>
              <w:pStyle w:val="ListParagraph"/>
              <w:numPr>
                <w:ilvl w:val="0"/>
                <w:numId w:val="1"/>
              </w:numPr>
              <w:ind w:left="540" w:hanging="180"/>
            </w:pPr>
            <w:r>
              <w:t>If after 5 days, you do not have symptoms of COVID, you may resume normal activities ONLY IF you are able to wear a</w:t>
            </w:r>
            <w:r w:rsidR="002806AF">
              <w:t xml:space="preserve"> well-fitting</w:t>
            </w:r>
            <w:r>
              <w:t xml:space="preserve"> mask in </w:t>
            </w:r>
            <w:r w:rsidR="002806AF">
              <w:t>home and</w:t>
            </w:r>
            <w:r>
              <w:t xml:space="preserve"> public settings.</w:t>
            </w:r>
          </w:p>
          <w:p w14:paraId="577053C8" w14:textId="77777777" w:rsidR="009164E8" w:rsidRDefault="009164E8" w:rsidP="000D15B7">
            <w:pPr>
              <w:ind w:left="540" w:hanging="180"/>
              <w:rPr>
                <w:sz w:val="10"/>
                <w:szCs w:val="10"/>
              </w:rPr>
            </w:pPr>
          </w:p>
          <w:p w14:paraId="0B4AF66D" w14:textId="031174ED" w:rsidR="009164E8" w:rsidRDefault="009164E8" w:rsidP="000D15B7">
            <w:pPr>
              <w:pStyle w:val="ListParagraph"/>
              <w:numPr>
                <w:ilvl w:val="0"/>
                <w:numId w:val="1"/>
              </w:numPr>
              <w:ind w:left="540" w:hanging="180"/>
            </w:pPr>
            <w:r>
              <w:t>COVID-19 testing is recommended on day 5.</w:t>
            </w:r>
          </w:p>
          <w:p w14:paraId="55DC741C" w14:textId="77777777" w:rsidR="009164E8" w:rsidRDefault="009164E8" w:rsidP="000D15B7">
            <w:pPr>
              <w:ind w:left="540" w:hanging="180"/>
              <w:rPr>
                <w:sz w:val="10"/>
                <w:szCs w:val="10"/>
              </w:rPr>
            </w:pPr>
          </w:p>
          <w:p w14:paraId="055F3F13" w14:textId="68A34B4D" w:rsidR="009164E8" w:rsidRDefault="009164E8" w:rsidP="000D15B7">
            <w:pPr>
              <w:pStyle w:val="ListParagraph"/>
              <w:numPr>
                <w:ilvl w:val="0"/>
                <w:numId w:val="1"/>
              </w:numPr>
              <w:ind w:left="540" w:hanging="180"/>
            </w:pPr>
            <w:r>
              <w:t>If you develop symptoms consistent with COVID, get a test and stay home (isolate).</w:t>
            </w:r>
          </w:p>
        </w:tc>
      </w:tr>
    </w:tbl>
    <w:p w14:paraId="659D7E98" w14:textId="77777777" w:rsidR="00877099" w:rsidRDefault="00877099"/>
    <w:sectPr w:rsidR="00877099" w:rsidSect="000D15B7">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9A1"/>
    <w:multiLevelType w:val="hybridMultilevel"/>
    <w:tmpl w:val="B718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9095B"/>
    <w:multiLevelType w:val="hybridMultilevel"/>
    <w:tmpl w:val="D4FA2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A262C"/>
    <w:multiLevelType w:val="hybridMultilevel"/>
    <w:tmpl w:val="4296F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EC6CC5"/>
    <w:multiLevelType w:val="hybridMultilevel"/>
    <w:tmpl w:val="3A6E1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E8"/>
    <w:rsid w:val="000D15B7"/>
    <w:rsid w:val="002806AF"/>
    <w:rsid w:val="00877099"/>
    <w:rsid w:val="008A15C6"/>
    <w:rsid w:val="009164E8"/>
    <w:rsid w:val="00AA6932"/>
    <w:rsid w:val="00BD37E7"/>
    <w:rsid w:val="00D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105A"/>
  <w15:chartTrackingRefBased/>
  <w15:docId w15:val="{6899ABFC-1BC4-42FD-B25F-0C30906E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E8"/>
    <w:pPr>
      <w:ind w:left="720"/>
      <w:contextualSpacing/>
    </w:pPr>
  </w:style>
  <w:style w:type="table" w:styleId="TableGrid">
    <w:name w:val="Table Grid"/>
    <w:basedOn w:val="TableNormal"/>
    <w:uiPriority w:val="39"/>
    <w:rsid w:val="0028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6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Sopha</dc:creator>
  <cp:keywords/>
  <dc:description/>
  <cp:lastModifiedBy>Richell Kufahl</cp:lastModifiedBy>
  <cp:revision>2</cp:revision>
  <dcterms:created xsi:type="dcterms:W3CDTF">2022-01-07T14:18:00Z</dcterms:created>
  <dcterms:modified xsi:type="dcterms:W3CDTF">2022-01-07T14:18:00Z</dcterms:modified>
</cp:coreProperties>
</file>